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BBDEF" w14:textId="356BC8D1" w:rsidR="007167DF" w:rsidRPr="0084174F" w:rsidRDefault="00305B9E" w:rsidP="0084174F">
      <w:pPr>
        <w:jc w:val="center"/>
        <w:rPr>
          <w:lang w:val="pl-PL"/>
        </w:rPr>
      </w:pPr>
      <w:r w:rsidRPr="0084174F">
        <w:rPr>
          <w:lang w:val="pl-PL"/>
        </w:rPr>
        <w:t xml:space="preserve">Zagadnienia z zakresu </w:t>
      </w:r>
      <w:r w:rsidR="0084174F" w:rsidRPr="0084174F">
        <w:rPr>
          <w:lang w:val="pl-PL"/>
        </w:rPr>
        <w:t>obszarów</w:t>
      </w:r>
      <w:r w:rsidRPr="0084174F">
        <w:rPr>
          <w:lang w:val="pl-PL"/>
        </w:rPr>
        <w:t xml:space="preserve"> wiejskich</w:t>
      </w:r>
    </w:p>
    <w:p w14:paraId="7F797D58" w14:textId="6DF2F903" w:rsidR="00305B9E" w:rsidRPr="0084174F" w:rsidRDefault="00305B9E" w:rsidP="0084174F">
      <w:pPr>
        <w:jc w:val="center"/>
        <w:rPr>
          <w:lang w:val="pl-PL"/>
        </w:rPr>
      </w:pPr>
      <w:r w:rsidRPr="0084174F">
        <w:rPr>
          <w:lang w:val="pl-PL"/>
        </w:rPr>
        <w:t>Punkty</w:t>
      </w:r>
    </w:p>
    <w:p w14:paraId="1D47C946" w14:textId="1A78C574" w:rsidR="00305B9E" w:rsidRPr="0084174F" w:rsidRDefault="00305B9E" w:rsidP="0084174F">
      <w:pPr>
        <w:jc w:val="center"/>
        <w:rPr>
          <w:lang w:val="pl-PL"/>
        </w:rPr>
      </w:pPr>
      <w:r w:rsidRPr="0084174F">
        <w:rPr>
          <w:lang w:val="pl-PL"/>
        </w:rPr>
        <w:t>Seminarium Grupy EA</w:t>
      </w:r>
    </w:p>
    <w:p w14:paraId="263BBB86" w14:textId="6EA81443" w:rsidR="00305B9E" w:rsidRPr="0084174F" w:rsidRDefault="00305B9E" w:rsidP="0084174F">
      <w:pPr>
        <w:jc w:val="center"/>
        <w:rPr>
          <w:lang w:val="pl-PL"/>
        </w:rPr>
      </w:pPr>
      <w:r w:rsidRPr="0084174F">
        <w:rPr>
          <w:lang w:val="pl-PL"/>
        </w:rPr>
        <w:t>9 Czerwca 2023</w:t>
      </w:r>
    </w:p>
    <w:p w14:paraId="29624B34" w14:textId="630CAF76" w:rsidR="00305B9E" w:rsidRPr="0084174F" w:rsidRDefault="00305B9E" w:rsidP="0084174F">
      <w:pPr>
        <w:jc w:val="center"/>
        <w:rPr>
          <w:lang w:val="pl-PL"/>
        </w:rPr>
      </w:pPr>
      <w:r w:rsidRPr="0084174F">
        <w:rPr>
          <w:lang w:val="pl-PL"/>
        </w:rPr>
        <w:t xml:space="preserve">Pan Dariusz </w:t>
      </w:r>
      <w:r w:rsidR="0084174F" w:rsidRPr="0084174F">
        <w:rPr>
          <w:lang w:val="pl-PL"/>
        </w:rPr>
        <w:t>Strugała</w:t>
      </w:r>
      <w:r w:rsidRPr="0084174F">
        <w:rPr>
          <w:lang w:val="pl-PL"/>
        </w:rPr>
        <w:t xml:space="preserve">, </w:t>
      </w:r>
      <w:r w:rsidR="0084174F" w:rsidRPr="0084174F">
        <w:rPr>
          <w:lang w:val="pl-PL"/>
        </w:rPr>
        <w:t>Wiceprzewodniczący</w:t>
      </w:r>
      <w:r w:rsidRPr="0084174F">
        <w:rPr>
          <w:lang w:val="pl-PL"/>
        </w:rPr>
        <w:t xml:space="preserve"> Grupy EA</w:t>
      </w:r>
    </w:p>
    <w:p w14:paraId="0583DA82" w14:textId="299F8928" w:rsidR="00305B9E" w:rsidRPr="0084174F" w:rsidRDefault="00305B9E" w:rsidP="0084174F">
      <w:pPr>
        <w:jc w:val="center"/>
        <w:rPr>
          <w:lang w:val="pl-PL"/>
        </w:rPr>
      </w:pPr>
      <w:r w:rsidRPr="0084174F">
        <w:rPr>
          <w:lang w:val="pl-PL"/>
        </w:rPr>
        <w:t>Koordynator Komisji NAT</w:t>
      </w:r>
    </w:p>
    <w:p w14:paraId="2F64655C" w14:textId="3D6832B1" w:rsidR="00305B9E" w:rsidRPr="0084174F" w:rsidRDefault="00305B9E" w:rsidP="0084174F">
      <w:pPr>
        <w:jc w:val="center"/>
        <w:rPr>
          <w:lang w:val="pl-PL"/>
        </w:rPr>
      </w:pPr>
      <w:r w:rsidRPr="0084174F">
        <w:rPr>
          <w:lang w:val="pl-PL"/>
        </w:rPr>
        <w:t xml:space="preserve">Burmistrz </w:t>
      </w:r>
      <w:r w:rsidR="0084174F" w:rsidRPr="0084174F">
        <w:rPr>
          <w:lang w:val="pl-PL"/>
        </w:rPr>
        <w:t>Jaraczewa</w:t>
      </w:r>
    </w:p>
    <w:p w14:paraId="22781EEC" w14:textId="411E4B19" w:rsidR="00305B9E" w:rsidRPr="0084174F" w:rsidRDefault="00305B9E">
      <w:pPr>
        <w:rPr>
          <w:lang w:val="pl-PL"/>
        </w:rPr>
      </w:pPr>
    </w:p>
    <w:p w14:paraId="4233C231" w14:textId="56ADAFE9" w:rsidR="00305B9E" w:rsidRPr="0084174F" w:rsidRDefault="00305B9E">
      <w:pPr>
        <w:rPr>
          <w:lang w:val="pl-PL"/>
        </w:rPr>
      </w:pPr>
    </w:p>
    <w:p w14:paraId="60425CE0" w14:textId="7F281BBF" w:rsidR="00305B9E" w:rsidRPr="004F4507" w:rsidRDefault="00305B9E">
      <w:pPr>
        <w:rPr>
          <w:b/>
          <w:bCs/>
          <w:lang w:val="pl-PL"/>
        </w:rPr>
      </w:pPr>
      <w:r w:rsidRPr="004F4507">
        <w:rPr>
          <w:b/>
          <w:bCs/>
          <w:lang w:val="pl-PL"/>
        </w:rPr>
        <w:t xml:space="preserve">1. Powitanie zebranych </w:t>
      </w:r>
      <w:r w:rsidR="0084174F" w:rsidRPr="004F4507">
        <w:rPr>
          <w:b/>
          <w:bCs/>
          <w:lang w:val="pl-PL"/>
        </w:rPr>
        <w:t>gości</w:t>
      </w:r>
    </w:p>
    <w:p w14:paraId="578E6D59" w14:textId="77777777" w:rsidR="00305B9E" w:rsidRPr="0084174F" w:rsidRDefault="00305B9E">
      <w:pPr>
        <w:rPr>
          <w:lang w:val="pl-PL"/>
        </w:rPr>
      </w:pPr>
    </w:p>
    <w:p w14:paraId="127103C3" w14:textId="527082A5" w:rsidR="00305B9E" w:rsidRPr="004F4507" w:rsidRDefault="00305B9E">
      <w:pPr>
        <w:rPr>
          <w:b/>
          <w:bCs/>
          <w:lang w:val="pl-PL"/>
        </w:rPr>
      </w:pPr>
      <w:r w:rsidRPr="004F4507">
        <w:rPr>
          <w:b/>
          <w:bCs/>
          <w:lang w:val="pl-PL"/>
        </w:rPr>
        <w:t>2. Poinformowanie o priorytetach Grupy w zakresie tematyki seminarium</w:t>
      </w:r>
    </w:p>
    <w:p w14:paraId="36CAA46E" w14:textId="3E2A3909" w:rsidR="0084174F" w:rsidRPr="0084174F" w:rsidRDefault="00305B9E" w:rsidP="004F4507">
      <w:pPr>
        <w:rPr>
          <w:lang w:val="pl-PL"/>
        </w:rPr>
      </w:pPr>
      <w:r w:rsidRPr="0084174F">
        <w:rPr>
          <w:lang w:val="pl-PL"/>
        </w:rPr>
        <w:t>Europejska polityka spójności musi ewoluować wraz z potrzebami regionów, w dalszym ciągu zmniejszać różnice i wspierać wszystkie regiony, w szczególności regiony słabiej rozwinięte, umożliwiając jednocześnie między nimi transfer wiedzy, doświadczeń i innowacji. Zaangażowanie wszystkich regionów, zwłaszcza regionów lepiej rozwiniętych, ma zasadnicze znaczenie dla wspierania wzrostu gospodarczego i dobrobytu w całej Europie.</w:t>
      </w:r>
      <w:r w:rsidR="004F4507">
        <w:rPr>
          <w:lang w:val="pl-PL"/>
        </w:rPr>
        <w:t xml:space="preserve"> </w:t>
      </w:r>
      <w:r w:rsidR="0084174F" w:rsidRPr="0084174F">
        <w:rPr>
          <w:lang w:val="pl-PL"/>
        </w:rPr>
        <w:t>Uważamy, że zrównoważona przyszłość Europy zależy od powiązania z silnym programem działań na rzecz obszarów wiejskich, co ma zapewnić im istotną rolę w dążeniu do inteligentnej i sprawiedliwej transformacji energetyki, zagwarantowania podstawowych zasobów i biomateriałów, zapewnienia bezpieczeństwa żywnościowego oraz zdrowia i dobrostanu dla wszystkich obywateli. Aby móc zrealizować te globalne cele, trzeba przeciwdziałać wyludnianiu się obszarów wiejskich.</w:t>
      </w:r>
      <w:r w:rsidR="004F4507">
        <w:rPr>
          <w:lang w:val="pl-PL"/>
        </w:rPr>
        <w:t xml:space="preserve"> </w:t>
      </w:r>
      <w:r w:rsidR="0084174F" w:rsidRPr="0084174F">
        <w:rPr>
          <w:lang w:val="pl-PL"/>
        </w:rPr>
        <w:t xml:space="preserve">Obszary wiejskie, wyspiarskie i górskie prezentują różnorodność regionów Europy i posiadają wyjątkowe walory kulturowe i naturalne, które pozytywnie wpływają na dobrobyt mieszkańców tych obszarów. </w:t>
      </w:r>
      <w:r w:rsidR="004F4507">
        <w:rPr>
          <w:lang w:val="pl-PL"/>
        </w:rPr>
        <w:t xml:space="preserve"> </w:t>
      </w:r>
      <w:r w:rsidR="0084174F" w:rsidRPr="0084174F">
        <w:rPr>
          <w:lang w:val="pl-PL"/>
        </w:rPr>
        <w:t>Grupa EA przypomina o potrzebie lepszego wdrażania art. 174 TFUE, w którym – ze względu na strukturalne ograniczenia naturalne, geograficzne, demograficzne i społeczne – poświęca się szczególną uwagę obszarom wyspiarskim, górskim i wiejskim.</w:t>
      </w:r>
      <w:r w:rsidR="004F4507">
        <w:rPr>
          <w:lang w:val="pl-PL"/>
        </w:rPr>
        <w:t xml:space="preserve"> </w:t>
      </w:r>
      <w:r w:rsidR="0084174F" w:rsidRPr="0084174F">
        <w:rPr>
          <w:lang w:val="pl-PL"/>
        </w:rPr>
        <w:t>Uważamy, że dla tych terytoriów należy wprowadzić szczególne środki, aby zapewnić ich wzrost gospodarczy i promować nowe możliwości zatrudnienia, zwiększając jednocześnie dostępność i łączność z głównymi ośrodkami gospodarczymi. W szczególności decydujące znaczenie ma połączenie tych obszarów z głównymi korytarzami transportowymi UE po przystępnych kosztach oraz zagwarantowanie powszechnego dostępu szerokopasmowego, aby zapobiec ryzyku wyludnienia.</w:t>
      </w:r>
    </w:p>
    <w:p w14:paraId="45CCDF2F" w14:textId="77777777" w:rsidR="00305B9E" w:rsidRPr="0084174F" w:rsidRDefault="00305B9E">
      <w:pPr>
        <w:rPr>
          <w:lang w:val="pl-PL"/>
        </w:rPr>
      </w:pPr>
    </w:p>
    <w:p w14:paraId="14A0448A" w14:textId="06315CE3" w:rsidR="00305B9E" w:rsidRPr="004F4507" w:rsidRDefault="00305B9E">
      <w:pPr>
        <w:rPr>
          <w:b/>
          <w:bCs/>
          <w:lang w:val="pl-PL"/>
        </w:rPr>
      </w:pPr>
      <w:r w:rsidRPr="004F4507">
        <w:rPr>
          <w:b/>
          <w:bCs/>
          <w:lang w:val="pl-PL"/>
        </w:rPr>
        <w:t xml:space="preserve">3. Poinformowanie o </w:t>
      </w:r>
      <w:r w:rsidR="004F4507" w:rsidRPr="004F4507">
        <w:rPr>
          <w:b/>
          <w:bCs/>
          <w:lang w:val="pl-PL"/>
        </w:rPr>
        <w:t>aktualnościach</w:t>
      </w:r>
      <w:r w:rsidRPr="004F4507">
        <w:rPr>
          <w:b/>
          <w:bCs/>
          <w:lang w:val="pl-PL"/>
        </w:rPr>
        <w:t xml:space="preserve"> z tematyki seminarium</w:t>
      </w:r>
    </w:p>
    <w:p w14:paraId="63CBE352" w14:textId="77777777" w:rsidR="004F4507" w:rsidRDefault="004F4507" w:rsidP="004F4507">
      <w:pPr>
        <w:rPr>
          <w:lang w:val="pl-PL"/>
        </w:rPr>
      </w:pPr>
    </w:p>
    <w:p w14:paraId="2A43B444" w14:textId="77777777" w:rsidR="004F4507" w:rsidRDefault="004F4507" w:rsidP="004F4507">
      <w:pPr>
        <w:rPr>
          <w:lang w:val="pl-PL"/>
        </w:rPr>
      </w:pPr>
      <w:r w:rsidRPr="004F4507">
        <w:rPr>
          <w:lang w:val="pl-PL"/>
        </w:rPr>
        <w:t>Przy zamkniętych granicach i ograniczonej mobilności rolnicy, wioski i społeczności wiejskie odczuwają potrzebę bliższych powiązań terytorialnych. Długoterminowa wizja obszarów wiejskich jasno przedstawia wiele aspektów rozwoju obszarów wiejskich, którym musimy się przyjrzeć, w tym planowanie terytorialne, podstawowe usługi, edukację, budowanie potencjału, inwestycje i skoordynowane działania, troskę o ludzi i planetę oraz aktywizację na obszarach wiejskich. Jeśli chcemy zatrzymać ludzi w każdym wieku i aktywne społeczności w naszych wsiach i małych miastach, potrzebujemy cyfryzacji, zróżnicowanej działalności gospodarczej i produkcji rolnej, która nie jest skoncentrowana tylko w niektórych regionach. Musimy też zapewnić interakcję – między obszarami miejskimi i wiejskimi oraz między małymi miejscowościami na obszarach wiejskich. Inteligentna wioska może przyczynić się do osiągnięcia tych celów. Będzie działać znacznie lepiej, jeśli zostanie osadzony na inteligentnym obszarze wiejskim.</w:t>
      </w:r>
    </w:p>
    <w:p w14:paraId="536D8EA9" w14:textId="77777777" w:rsidR="004F4507" w:rsidRDefault="004F4507" w:rsidP="004F4507">
      <w:pPr>
        <w:rPr>
          <w:lang w:val="pl-PL"/>
        </w:rPr>
      </w:pPr>
    </w:p>
    <w:p w14:paraId="22DBDA25" w14:textId="026763D5" w:rsidR="004F4507" w:rsidRDefault="004F4507" w:rsidP="004F4507">
      <w:pPr>
        <w:rPr>
          <w:lang w:val="pl-PL"/>
        </w:rPr>
      </w:pPr>
      <w:r>
        <w:rPr>
          <w:lang w:val="pl-PL"/>
        </w:rPr>
        <w:lastRenderedPageBreak/>
        <w:t xml:space="preserve">Aktualnym sprawozdawca </w:t>
      </w:r>
      <w:proofErr w:type="spellStart"/>
      <w:r w:rsidRPr="0084174F">
        <w:rPr>
          <w:lang w:val="pl-PL"/>
        </w:rPr>
        <w:t>Radim</w:t>
      </w:r>
      <w:proofErr w:type="spellEnd"/>
      <w:r w:rsidRPr="0084174F">
        <w:rPr>
          <w:lang w:val="pl-PL"/>
        </w:rPr>
        <w:t xml:space="preserve"> </w:t>
      </w:r>
      <w:proofErr w:type="spellStart"/>
      <w:r w:rsidRPr="0084174F">
        <w:rPr>
          <w:lang w:val="pl-PL"/>
        </w:rPr>
        <w:t>Sršeň</w:t>
      </w:r>
      <w:proofErr w:type="spellEnd"/>
      <w:r w:rsidRPr="0084174F">
        <w:rPr>
          <w:lang w:val="pl-PL"/>
        </w:rPr>
        <w:t xml:space="preserve"> ds. inteligentnych obszarów wiejskich w Europie.</w:t>
      </w:r>
    </w:p>
    <w:p w14:paraId="68668FED" w14:textId="77777777" w:rsidR="004F4507" w:rsidRDefault="004F4507">
      <w:pPr>
        <w:rPr>
          <w:lang w:val="pl-PL"/>
        </w:rPr>
      </w:pPr>
    </w:p>
    <w:p w14:paraId="2E9D6C88" w14:textId="1E578479" w:rsidR="004F4507" w:rsidRDefault="004F4507">
      <w:pPr>
        <w:rPr>
          <w:lang w:val="pl-PL"/>
        </w:rPr>
      </w:pPr>
      <w:r>
        <w:rPr>
          <w:lang w:val="pl-PL"/>
        </w:rPr>
        <w:t xml:space="preserve">Wcześniej Enda Stenson (członek z naszej grupy) był sprawozdawca do opinii z inicjatywy własnej i on zaczął </w:t>
      </w:r>
      <w:proofErr w:type="spellStart"/>
      <w:r>
        <w:rPr>
          <w:lang w:val="pl-PL"/>
        </w:rPr>
        <w:t>wzywac</w:t>
      </w:r>
      <w:proofErr w:type="spellEnd"/>
      <w:r>
        <w:rPr>
          <w:lang w:val="pl-PL"/>
        </w:rPr>
        <w:t xml:space="preserve"> do inicjatywy inteligentnych wiosek (Smart </w:t>
      </w:r>
      <w:proofErr w:type="spellStart"/>
      <w:proofErr w:type="gramStart"/>
      <w:r>
        <w:rPr>
          <w:lang w:val="pl-PL"/>
        </w:rPr>
        <w:t>Villages</w:t>
      </w:r>
      <w:proofErr w:type="spellEnd"/>
      <w:r>
        <w:rPr>
          <w:lang w:val="pl-PL"/>
        </w:rPr>
        <w:t>)  i</w:t>
      </w:r>
      <w:proofErr w:type="gramEnd"/>
      <w:r>
        <w:rPr>
          <w:lang w:val="pl-PL"/>
        </w:rPr>
        <w:t xml:space="preserve"> agendzie wiejskiej (</w:t>
      </w:r>
      <w:proofErr w:type="spellStart"/>
      <w:r>
        <w:rPr>
          <w:lang w:val="pl-PL"/>
        </w:rPr>
        <w:t>Rural</w:t>
      </w:r>
      <w:proofErr w:type="spellEnd"/>
      <w:r>
        <w:rPr>
          <w:lang w:val="pl-PL"/>
        </w:rPr>
        <w:t xml:space="preserve"> Agenda/</w:t>
      </w:r>
      <w:proofErr w:type="spellStart"/>
      <w:r>
        <w:rPr>
          <w:lang w:val="pl-PL"/>
        </w:rPr>
        <w:t>Rural</w:t>
      </w:r>
      <w:proofErr w:type="spellEnd"/>
      <w:r>
        <w:rPr>
          <w:lang w:val="pl-PL"/>
        </w:rPr>
        <w:t xml:space="preserve"> </w:t>
      </w:r>
      <w:proofErr w:type="spellStart"/>
      <w:r>
        <w:rPr>
          <w:lang w:val="pl-PL"/>
        </w:rPr>
        <w:t>Pact</w:t>
      </w:r>
      <w:proofErr w:type="spellEnd"/>
      <w:r>
        <w:rPr>
          <w:lang w:val="pl-PL"/>
        </w:rPr>
        <w:t>)</w:t>
      </w:r>
    </w:p>
    <w:p w14:paraId="5475B5BD" w14:textId="77777777" w:rsidR="004F4507" w:rsidRPr="004F4507" w:rsidRDefault="004F4507" w:rsidP="004F4507">
      <w:pPr>
        <w:rPr>
          <w:lang w:val="pl-PL"/>
        </w:rPr>
      </w:pPr>
    </w:p>
    <w:p w14:paraId="42CA0939" w14:textId="045DDB38" w:rsidR="004F4507" w:rsidRPr="004F4507" w:rsidRDefault="004F4507" w:rsidP="004F4507">
      <w:pPr>
        <w:rPr>
          <w:lang w:val="pl-PL"/>
        </w:rPr>
      </w:pPr>
      <w:r w:rsidRPr="004F4507">
        <w:rPr>
          <w:lang w:val="pl-PL"/>
        </w:rPr>
        <w:t xml:space="preserve">Cllr Enda Stenson (Grupa EA) w 2017 r. w swojej opinii na temat </w:t>
      </w:r>
      <w:r w:rsidRPr="004F4507">
        <w:rPr>
          <w:b/>
          <w:bCs/>
          <w:lang w:val="pl-PL"/>
        </w:rPr>
        <w:t>inteligentnych wiosek</w:t>
      </w:r>
      <w:r w:rsidRPr="004F4507">
        <w:rPr>
          <w:lang w:val="pl-PL"/>
        </w:rPr>
        <w:t xml:space="preserve"> wezwał do większej ambicji i opracowania ukierunkowanej i przyszłościowej polityki dotyczącej inteligentnych wiosek z myślą o okresie po 2020 r. oraz do włączenia inicjatywy do europejskiego programu rozwoju obszarów wiejskich</w:t>
      </w:r>
      <w:r>
        <w:rPr>
          <w:lang w:val="pl-PL"/>
        </w:rPr>
        <w:t>.</w:t>
      </w:r>
    </w:p>
    <w:p w14:paraId="5BD0A952" w14:textId="77777777" w:rsidR="004F4507" w:rsidRPr="004F4507" w:rsidRDefault="004F4507" w:rsidP="004F4507">
      <w:pPr>
        <w:rPr>
          <w:lang w:val="pl-PL"/>
        </w:rPr>
      </w:pPr>
      <w:r w:rsidRPr="004F4507">
        <w:rPr>
          <w:lang w:val="pl-PL"/>
        </w:rPr>
        <w:t>W opinii radny Stenson zaproponował również rozszerzenie pojęcia Inteligentnych Wiosek na pojęcie Inteligentnych Obszarów Wiejskich i włączenie tej inicjatywy do Europejskiej Agendy Obszarów Wiejskich, aby również wspierać i rozwijać synergie między sąsiednimi małymi wioskami w ramach Inteligentnych Obszarów Wiejskich. Wezwał również zainteresowane strony do jak najszybszego rozpoczęcia prac przygotowawczych w celu wprowadzenia trwałego i skutecznego programu inteligentnych wiosek na następny okres finansowania. W tej opinii z zadowoleniem przyjął inicjatywę Komisji Europejskiej dotyczącą działań UE na rzecz inteligentnych wiosek, w której uznano potrzebę ukierunkowanych działań wspierających odrodzenie obszarów wiejskich jako zrównoważonych miejsc do życia i pracy. Zwiększenie dobrobytu na obszarach wiejskich i rentowności obszarów wiejskich to jedne z najpilniejszych zadań, ponieważ bardziej zrównoważony rozwój terytorialny jest podstawą do osiągnięcia większego zrównoważenia społeczno-gospodarczego i środowiskowego.</w:t>
      </w:r>
    </w:p>
    <w:p w14:paraId="6EFC91EB" w14:textId="77777777" w:rsidR="004F4507" w:rsidRPr="004F4507" w:rsidRDefault="004F4507" w:rsidP="004F4507">
      <w:pPr>
        <w:rPr>
          <w:lang w:val="pl-PL"/>
        </w:rPr>
      </w:pPr>
      <w:r w:rsidRPr="004F4507">
        <w:rPr>
          <w:lang w:val="pl-PL"/>
        </w:rPr>
        <w:t>Wyraził również ubolewanie z powodu braku ambicji przedstawionego w dokumencie, który stanowił kompilację wcześniej istniejących inicjatyw. W tekście tym wezwał do większej ambicji i opracowania ukierunkowanej i przyszłościowej polityki dotyczącej inteligentnych wiosek z myślą o okresie po 2020 r., która opiera się na potrzebie skonsolidowania pełnego zakresu unijnych inteligentnych instrumentów ukierunkowanych terytorialnie. Chciałby zwrócić uwagę na znaczenie ścisłej koordynacji na wszystkich szczeblach sprawowania rządów, z należytym poszanowaniem zasady pomocniczości, w celu określenia rozwiązań „oddolnych” i „miejscowych”. Weryfikacja obszarów wiejskich powinna zostać włączona do polityki i szkoleń, które należy zapewnić grupom docelowym, takim jak rolnicy.</w:t>
      </w:r>
    </w:p>
    <w:p w14:paraId="6A76CA1F" w14:textId="77777777" w:rsidR="004F4507" w:rsidRPr="004F4507" w:rsidRDefault="004F4507" w:rsidP="004F4507">
      <w:pPr>
        <w:rPr>
          <w:lang w:val="pl-PL"/>
        </w:rPr>
      </w:pPr>
    </w:p>
    <w:p w14:paraId="6A34FAE0" w14:textId="77777777" w:rsidR="004F4507" w:rsidRPr="004F4507" w:rsidRDefault="004F4507" w:rsidP="004F4507">
      <w:pPr>
        <w:rPr>
          <w:lang w:val="pl-PL"/>
        </w:rPr>
      </w:pPr>
      <w:r w:rsidRPr="004F4507">
        <w:rPr>
          <w:lang w:val="pl-PL"/>
        </w:rPr>
        <w:t>W swojej opinii w sprawie strategii UE na rzecz ożywienia obszarów wiejskich przyjętej na sesji plenarnej KR-u w grudniu 2020 r. Cllr Enda Stenson stwierdził, co następuje:</w:t>
      </w:r>
    </w:p>
    <w:p w14:paraId="0D8947A2" w14:textId="77777777" w:rsidR="004F4507" w:rsidRPr="004F4507" w:rsidRDefault="004F4507" w:rsidP="004F4507">
      <w:pPr>
        <w:rPr>
          <w:lang w:val="pl-PL"/>
        </w:rPr>
      </w:pPr>
      <w:r w:rsidRPr="004F4507">
        <w:rPr>
          <w:lang w:val="pl-PL"/>
        </w:rPr>
        <w:t>- podkreśla, że nową długoterminową wizję obszarów wiejskich należy przekształcić w konkretne ramy polityczne – program dla obszarów wiejskich;</w:t>
      </w:r>
    </w:p>
    <w:p w14:paraId="668DC6AD" w14:textId="77777777" w:rsidR="004F4507" w:rsidRPr="004F4507" w:rsidRDefault="004F4507" w:rsidP="004F4507">
      <w:pPr>
        <w:rPr>
          <w:lang w:val="pl-PL"/>
        </w:rPr>
      </w:pPr>
      <w:r w:rsidRPr="004F4507">
        <w:rPr>
          <w:lang w:val="pl-PL"/>
        </w:rPr>
        <w:t>- podkreśla, że program działań na rzecz obszarów wiejskich powinien:</w:t>
      </w:r>
    </w:p>
    <w:p w14:paraId="680BB6DC" w14:textId="77777777" w:rsidR="004F4507" w:rsidRPr="004F4507" w:rsidRDefault="004F4507" w:rsidP="004F4507">
      <w:pPr>
        <w:rPr>
          <w:lang w:val="pl-PL"/>
        </w:rPr>
      </w:pPr>
      <w:r w:rsidRPr="004F4507">
        <w:rPr>
          <w:lang w:val="pl-PL"/>
        </w:rPr>
        <w:t>o zapewnić, aby wzajemnie korzystne powiązania między obszarami wiejskimi a miejskimi zostały włączone do wszystkich polityk UE zgodnie z celami spójności terytorialnej, wykorzystując w pełni silne współzależności między obszarami wiejskimi i miejskimi;</w:t>
      </w:r>
    </w:p>
    <w:p w14:paraId="2472F1DC" w14:textId="77777777" w:rsidR="004F4507" w:rsidRPr="004F4507" w:rsidRDefault="004F4507" w:rsidP="004F4507">
      <w:pPr>
        <w:rPr>
          <w:lang w:val="pl-PL"/>
        </w:rPr>
      </w:pPr>
      <w:r w:rsidRPr="004F4507">
        <w:rPr>
          <w:lang w:val="pl-PL"/>
        </w:rPr>
        <w:t>o dywersyfikować punkty wejścia i uwzględniać kwestie związane z obszarami wiejskimi we wszystkich politykach UE. Potrzeby obszarów wiejskich wykraczają daleko poza to, co może osiągnąć polityka rozwoju obszarów wiejskich, ale obecnie oferowane fundusze UE są niewystarczające zarówno pod względem ilości, jak i jakości;</w:t>
      </w:r>
    </w:p>
    <w:p w14:paraId="68B559E3" w14:textId="77777777" w:rsidR="004F4507" w:rsidRPr="004F4507" w:rsidRDefault="004F4507" w:rsidP="004F4507">
      <w:pPr>
        <w:rPr>
          <w:lang w:val="pl-PL"/>
        </w:rPr>
      </w:pPr>
      <w:r w:rsidRPr="004F4507">
        <w:rPr>
          <w:lang w:val="pl-PL"/>
        </w:rPr>
        <w:t>o zharmonizować różne przepisy i ponownie włączyć Europejski Fundusz Rolny na rzecz Rozwoju Obszarów Wiejskich do rozporządzenia w sprawie wspólnych przepisów, aby wspierać i ułatwiać wielofunduszowe projekty na obszarach wiejskich, niekoniecznie związane z rolnictwem;</w:t>
      </w:r>
    </w:p>
    <w:p w14:paraId="104658EC" w14:textId="77777777" w:rsidR="004F4507" w:rsidRPr="004F4507" w:rsidRDefault="004F4507" w:rsidP="004F4507">
      <w:pPr>
        <w:rPr>
          <w:lang w:val="pl-PL"/>
        </w:rPr>
      </w:pPr>
      <w:r w:rsidRPr="004F4507">
        <w:rPr>
          <w:lang w:val="pl-PL"/>
        </w:rPr>
        <w:t>o monitorować wydatki UE, stosując podejście „</w:t>
      </w:r>
      <w:proofErr w:type="spellStart"/>
      <w:r w:rsidRPr="004F4507">
        <w:rPr>
          <w:lang w:val="pl-PL"/>
        </w:rPr>
        <w:t>rural</w:t>
      </w:r>
      <w:proofErr w:type="spellEnd"/>
      <w:r w:rsidRPr="004F4507">
        <w:rPr>
          <w:lang w:val="pl-PL"/>
        </w:rPr>
        <w:t xml:space="preserve"> </w:t>
      </w:r>
      <w:proofErr w:type="spellStart"/>
      <w:r w:rsidRPr="004F4507">
        <w:rPr>
          <w:lang w:val="pl-PL"/>
        </w:rPr>
        <w:t>proofing</w:t>
      </w:r>
      <w:proofErr w:type="spellEnd"/>
      <w:r w:rsidRPr="004F4507">
        <w:rPr>
          <w:lang w:val="pl-PL"/>
        </w:rPr>
        <w:t>”;</w:t>
      </w:r>
    </w:p>
    <w:p w14:paraId="75CE0815" w14:textId="77777777" w:rsidR="004F4507" w:rsidRPr="004F4507" w:rsidRDefault="004F4507" w:rsidP="004F4507">
      <w:pPr>
        <w:rPr>
          <w:lang w:val="pl-PL"/>
        </w:rPr>
      </w:pPr>
      <w:r w:rsidRPr="004F4507">
        <w:rPr>
          <w:lang w:val="pl-PL"/>
        </w:rPr>
        <w:lastRenderedPageBreak/>
        <w:t>o ponowne przemyślenie typologii miejsko-wiejskiej w celu lepszego ukierunkowania wsparcia;</w:t>
      </w:r>
    </w:p>
    <w:p w14:paraId="7C19103A" w14:textId="77777777" w:rsidR="004F4507" w:rsidRPr="004F4507" w:rsidRDefault="004F4507" w:rsidP="004F4507">
      <w:pPr>
        <w:rPr>
          <w:lang w:val="pl-PL"/>
        </w:rPr>
      </w:pPr>
      <w:r w:rsidRPr="004F4507">
        <w:rPr>
          <w:lang w:val="pl-PL"/>
        </w:rPr>
        <w:t>o zwiększyć rolę szczebla lokalnego i regionalnego w opracowywaniu i zarządzaniu polityką dotyczącą obszarów wiejskich;</w:t>
      </w:r>
    </w:p>
    <w:p w14:paraId="689071FC" w14:textId="77777777" w:rsidR="004F4507" w:rsidRPr="004F4507" w:rsidRDefault="004F4507" w:rsidP="004F4507">
      <w:pPr>
        <w:rPr>
          <w:lang w:val="pl-PL"/>
        </w:rPr>
      </w:pPr>
      <w:r w:rsidRPr="004F4507">
        <w:rPr>
          <w:lang w:val="pl-PL"/>
        </w:rPr>
        <w:t xml:space="preserve">o walczyć z wyludnieniem i wykluczeniem społecznym, np. promując inicjatywę inteligentnych wsi, </w:t>
      </w:r>
      <w:proofErr w:type="spellStart"/>
      <w:r w:rsidRPr="004F4507">
        <w:rPr>
          <w:lang w:val="pl-PL"/>
        </w:rPr>
        <w:t>biogospodarkę</w:t>
      </w:r>
      <w:proofErr w:type="spellEnd"/>
      <w:r w:rsidRPr="004F4507">
        <w:rPr>
          <w:lang w:val="pl-PL"/>
        </w:rPr>
        <w:t xml:space="preserve"> i innowacje społeczne oraz zmniejszając przepaść cyfrową;</w:t>
      </w:r>
    </w:p>
    <w:p w14:paraId="0871C690" w14:textId="77777777" w:rsidR="004F4507" w:rsidRPr="004F4507" w:rsidRDefault="004F4507" w:rsidP="004F4507">
      <w:pPr>
        <w:rPr>
          <w:lang w:val="pl-PL"/>
        </w:rPr>
      </w:pPr>
      <w:r w:rsidRPr="004F4507">
        <w:rPr>
          <w:lang w:val="pl-PL"/>
        </w:rPr>
        <w:t>- apeluje o zwiększenie europejskiego budżetu przeznaczonego na rozwój obszarów wiejskich. Niepokojące jest to, że nowy przydział WRF jest znacznie niższy niż w obecnym okresie programowania i KR wzywa do odwrócenia tego i zwiększenia finansowania obszarów wiejskich;</w:t>
      </w:r>
    </w:p>
    <w:p w14:paraId="0FDB3903" w14:textId="77777777" w:rsidR="004F4507" w:rsidRPr="004F4507" w:rsidRDefault="004F4507" w:rsidP="004F4507">
      <w:pPr>
        <w:rPr>
          <w:lang w:val="pl-PL"/>
        </w:rPr>
      </w:pPr>
      <w:r w:rsidRPr="004F4507">
        <w:rPr>
          <w:lang w:val="pl-PL"/>
        </w:rPr>
        <w:t>- wzywa do dalszego rozwijania instrumentów finansowych i dostosowywania ich do projektów na małą skalę;</w:t>
      </w:r>
    </w:p>
    <w:p w14:paraId="6826F27E" w14:textId="77777777" w:rsidR="004F4507" w:rsidRPr="004F4507" w:rsidRDefault="004F4507" w:rsidP="004F4507">
      <w:pPr>
        <w:rPr>
          <w:lang w:val="pl-PL"/>
        </w:rPr>
      </w:pPr>
      <w:r w:rsidRPr="004F4507">
        <w:rPr>
          <w:lang w:val="pl-PL"/>
        </w:rPr>
        <w:t>- zachęca do uproszczenia i harmonizacji funduszy strukturalnych i inwestycyjnych;</w:t>
      </w:r>
    </w:p>
    <w:p w14:paraId="0F371FDC" w14:textId="3931B3C6" w:rsidR="004F4507" w:rsidRDefault="004F4507" w:rsidP="004F4507">
      <w:pPr>
        <w:rPr>
          <w:lang w:val="pl-PL"/>
        </w:rPr>
      </w:pPr>
      <w:r w:rsidRPr="004F4507">
        <w:rPr>
          <w:lang w:val="pl-PL"/>
        </w:rPr>
        <w:t>- Opowiada się za przyszłą WPR, która utrzymuje bezpośredni związek z obszarami wiejskimi dzięki aktywnej roli regionów UE, które odgrywają kluczową rolę w określaniu i wdrażaniu polityki rozwoju obszarów wiejskich na szczeblu lokalnym.</w:t>
      </w:r>
    </w:p>
    <w:p w14:paraId="1733E273" w14:textId="45391D27" w:rsidR="004F4507" w:rsidRDefault="004F4507">
      <w:pPr>
        <w:rPr>
          <w:lang w:val="pl-PL"/>
        </w:rPr>
      </w:pPr>
    </w:p>
    <w:p w14:paraId="3B203098" w14:textId="5CF4FF60" w:rsidR="004F4507" w:rsidRDefault="004F4507">
      <w:pPr>
        <w:rPr>
          <w:lang w:val="pl-PL"/>
        </w:rPr>
      </w:pPr>
    </w:p>
    <w:p w14:paraId="3DF5DCA4" w14:textId="6E9BADF9" w:rsidR="004F4507" w:rsidRPr="0084174F" w:rsidRDefault="004F4507">
      <w:pPr>
        <w:rPr>
          <w:lang w:val="pl-PL"/>
        </w:rPr>
      </w:pPr>
      <w:r>
        <w:rPr>
          <w:lang w:val="pl-PL"/>
        </w:rPr>
        <w:t>Do wiadomości:</w:t>
      </w:r>
    </w:p>
    <w:p w14:paraId="45AEDD4B" w14:textId="77777777" w:rsidR="00305B9E" w:rsidRPr="0084174F" w:rsidRDefault="00305B9E" w:rsidP="00305B9E">
      <w:pPr>
        <w:rPr>
          <w:lang w:val="pl-PL"/>
        </w:rPr>
      </w:pPr>
      <w:r w:rsidRPr="0084174F">
        <w:rPr>
          <w:lang w:val="pl-PL"/>
        </w:rPr>
        <w:t xml:space="preserve">Komisja Europejska w końcu rozpoczęła oficjalny proces nominacji Grupy Koordynacyjnej Paktu Wiejskiego, dla której NAT mianował już wiceprzewodniczącego </w:t>
      </w:r>
      <w:proofErr w:type="spellStart"/>
      <w:r w:rsidRPr="0084174F">
        <w:rPr>
          <w:lang w:val="pl-PL"/>
        </w:rPr>
        <w:t>Radima</w:t>
      </w:r>
      <w:proofErr w:type="spellEnd"/>
      <w:r w:rsidRPr="0084174F">
        <w:rPr>
          <w:lang w:val="pl-PL"/>
        </w:rPr>
        <w:t xml:space="preserve"> </w:t>
      </w:r>
      <w:proofErr w:type="spellStart"/>
      <w:r w:rsidRPr="0084174F">
        <w:rPr>
          <w:lang w:val="pl-PL"/>
        </w:rPr>
        <w:t>Sršeňa</w:t>
      </w:r>
      <w:proofErr w:type="spellEnd"/>
      <w:r w:rsidRPr="0084174F">
        <w:rPr>
          <w:lang w:val="pl-PL"/>
        </w:rPr>
        <w:t xml:space="preserve"> na początku tego roku. Grupa koordynacyjna będzie odpowiedzialna za sterowanie procesem Paktu Wiejskiego, który dotychczas był zarządzany na poziomie technicznym. Będzie się składać z maksymalnie 30 członków, w tym podmiotów publicznych UE (członkowie komisji AGRI i REGI Parlamentu Europejskiego, komisji NAT i COTER Komitetu Regionów oraz sekcji NAT i ECO Europejskiego Komitetu Gospodarczego i Komitet Społeczny), państwa członkowskie reprezentujące trio prezydencji Rady Unii Europejskiej, przedstawiciele grupy sterującej Europejskiego Parlamentu Obszarów Wiejskich oraz przedstawiciele europejskich organizacji pozarządowych i społeczeństwa obywatelskiego.</w:t>
      </w:r>
    </w:p>
    <w:p w14:paraId="300DB636" w14:textId="77777777" w:rsidR="0084174F" w:rsidRDefault="0084174F" w:rsidP="00305B9E">
      <w:pPr>
        <w:rPr>
          <w:lang w:val="pl-PL"/>
        </w:rPr>
      </w:pPr>
    </w:p>
    <w:p w14:paraId="606C63E8" w14:textId="17D3B604" w:rsidR="00305B9E" w:rsidRPr="0084174F" w:rsidRDefault="0084174F" w:rsidP="00305B9E">
      <w:pPr>
        <w:rPr>
          <w:lang w:val="pl-PL"/>
        </w:rPr>
      </w:pPr>
      <w:r>
        <w:rPr>
          <w:lang w:val="pl-PL"/>
        </w:rPr>
        <w:t>O</w:t>
      </w:r>
      <w:r w:rsidR="00305B9E" w:rsidRPr="0084174F">
        <w:rPr>
          <w:lang w:val="pl-PL"/>
        </w:rPr>
        <w:t xml:space="preserve">trzymaliśmy raport końcowy z badania pt. Koszt braku wsi – przygotowanie do lepszej równowagi miejsko-wiejskiej w finansowaniu unijnym </w:t>
      </w:r>
    </w:p>
    <w:p w14:paraId="39419712" w14:textId="77777777" w:rsidR="00305B9E" w:rsidRPr="0084174F" w:rsidRDefault="00305B9E" w:rsidP="00305B9E">
      <w:pPr>
        <w:rPr>
          <w:lang w:val="pl-PL"/>
        </w:rPr>
      </w:pPr>
      <w:r w:rsidRPr="0084174F">
        <w:rPr>
          <w:lang w:val="pl-PL"/>
        </w:rPr>
        <w:t>• Badanie dowodzi, że upadek obszarów wiejskich ma wpływ na całą UE (społeczny, gospodarczy, terytorialny).</w:t>
      </w:r>
    </w:p>
    <w:p w14:paraId="244D5493" w14:textId="77777777" w:rsidR="00305B9E" w:rsidRPr="0084174F" w:rsidRDefault="00305B9E" w:rsidP="00305B9E">
      <w:pPr>
        <w:rPr>
          <w:lang w:val="pl-PL"/>
        </w:rPr>
      </w:pPr>
      <w:r w:rsidRPr="0084174F">
        <w:rPr>
          <w:lang w:val="pl-PL"/>
        </w:rPr>
        <w:t>• Na przykład, jak wykazała wcześniej Komisja, utrata różnorodności biologicznej i usług ekosystemowych spowodowana zmianą użytkowania gruntów, fragmentacją i degradacją w całej UE może skutkować rocznymi kosztami gospodarczymi sięgającymi 50 mld EUR. Z drugiej strony szacuje się, że inwestycje w odtwarzanie przyrody mogą wygenerować od 8 do 38 EUR wartości ekonomicznej z każdego 1 EUR wydanego na usługi ekosystemowe, bezpieczeństwo żywnościowe, odporność na zmianę klimatu i łagodzenie jej skutków oraz zdrowie ludzkie.</w:t>
      </w:r>
    </w:p>
    <w:p w14:paraId="45B2465F" w14:textId="77777777" w:rsidR="00305B9E" w:rsidRPr="0084174F" w:rsidRDefault="00305B9E" w:rsidP="00305B9E">
      <w:pPr>
        <w:rPr>
          <w:lang w:val="pl-PL"/>
        </w:rPr>
      </w:pPr>
      <w:r w:rsidRPr="0084174F">
        <w:rPr>
          <w:lang w:val="pl-PL"/>
        </w:rPr>
        <w:t>• Badanie przedstawia metodologię pozwalającą zrozumieć koszty i korzyści netto inwestowania na obszarach wiejskich dla całego społeczeństwa europejskiego. Potrzeba więcej badań i danych na temat kosztów braku obszarów wiejskich.</w:t>
      </w:r>
    </w:p>
    <w:p w14:paraId="6342827A" w14:textId="77777777" w:rsidR="00305B9E" w:rsidRPr="0084174F" w:rsidRDefault="00305B9E" w:rsidP="00305B9E">
      <w:pPr>
        <w:rPr>
          <w:lang w:val="pl-PL"/>
        </w:rPr>
      </w:pPr>
      <w:r w:rsidRPr="0084174F">
        <w:rPr>
          <w:lang w:val="pl-PL"/>
        </w:rPr>
        <w:t>• Finansowanie musi być zgodne z potrzebą holistycznego podejścia politycznego do obszarów wiejskich (np. LTVRA), dlatego finansowanie obszarów wiejskich powinno być lepiej zintegrowane z innymi funduszami.</w:t>
      </w:r>
    </w:p>
    <w:p w14:paraId="0994659B" w14:textId="7239E63F" w:rsidR="00305B9E" w:rsidRPr="0084174F" w:rsidRDefault="00305B9E" w:rsidP="00305B9E">
      <w:pPr>
        <w:rPr>
          <w:lang w:val="pl-PL"/>
        </w:rPr>
      </w:pPr>
      <w:r w:rsidRPr="0084174F">
        <w:rPr>
          <w:lang w:val="pl-PL"/>
        </w:rPr>
        <w:t xml:space="preserve">Opracowanie </w:t>
      </w:r>
      <w:r w:rsidR="0084174F" w:rsidRPr="0084174F">
        <w:rPr>
          <w:lang w:val="pl-PL"/>
        </w:rPr>
        <w:t>zosta</w:t>
      </w:r>
      <w:r w:rsidR="0084174F">
        <w:rPr>
          <w:lang w:val="pl-PL"/>
        </w:rPr>
        <w:t>ło</w:t>
      </w:r>
      <w:r w:rsidRPr="0084174F">
        <w:rPr>
          <w:lang w:val="pl-PL"/>
        </w:rPr>
        <w:t xml:space="preserve"> zaprezentowane na posiedzeniu NAT 1 czerwca w Toruniu</w:t>
      </w:r>
      <w:r w:rsidR="0084174F">
        <w:rPr>
          <w:lang w:val="pl-PL"/>
        </w:rPr>
        <w:t xml:space="preserve"> w Polsce</w:t>
      </w:r>
      <w:r w:rsidRPr="0084174F">
        <w:rPr>
          <w:lang w:val="pl-PL"/>
        </w:rPr>
        <w:t>. Informacje na temat badania zostaną również przesłane do Sojuszu na rzecz Spójności.</w:t>
      </w:r>
    </w:p>
    <w:p w14:paraId="1D0A9246" w14:textId="00CF94FB" w:rsidR="00305B9E" w:rsidRPr="0084174F" w:rsidRDefault="00305B9E" w:rsidP="00305B9E">
      <w:pPr>
        <w:rPr>
          <w:lang w:val="pl-PL"/>
        </w:rPr>
      </w:pPr>
      <w:r w:rsidRPr="0084174F">
        <w:rPr>
          <w:lang w:val="pl-PL"/>
        </w:rPr>
        <w:lastRenderedPageBreak/>
        <w:t>2. Stosowana przez KR metoda „</w:t>
      </w:r>
      <w:proofErr w:type="spellStart"/>
      <w:r w:rsidRPr="0084174F">
        <w:rPr>
          <w:lang w:val="pl-PL"/>
        </w:rPr>
        <w:t>rural</w:t>
      </w:r>
      <w:proofErr w:type="spellEnd"/>
      <w:r w:rsidRPr="0084174F">
        <w:rPr>
          <w:lang w:val="pl-PL"/>
        </w:rPr>
        <w:t xml:space="preserve"> </w:t>
      </w:r>
      <w:proofErr w:type="spellStart"/>
      <w:r w:rsidRPr="0084174F">
        <w:rPr>
          <w:lang w:val="pl-PL"/>
        </w:rPr>
        <w:t>proofing</w:t>
      </w:r>
      <w:proofErr w:type="spellEnd"/>
      <w:r w:rsidRPr="0084174F">
        <w:rPr>
          <w:lang w:val="pl-PL"/>
        </w:rPr>
        <w:t xml:space="preserve">” została zatwierdzona przez komisję NAT i </w:t>
      </w:r>
      <w:r w:rsidR="0084174F" w:rsidRPr="0084174F">
        <w:rPr>
          <w:lang w:val="pl-PL"/>
        </w:rPr>
        <w:t>została</w:t>
      </w:r>
      <w:r w:rsidRPr="0084174F">
        <w:rPr>
          <w:lang w:val="pl-PL"/>
        </w:rPr>
        <w:t xml:space="preserve"> przedstawiona grupie BRASS-G pod koniec maja. Na 22 czerwca zaplanowane są pierwsze warsztaty TIA poświęcone testowaniu zrównoważonych systemów żywnościowych na obszarach wiejskich.</w:t>
      </w:r>
    </w:p>
    <w:p w14:paraId="399A4C4A" w14:textId="16936CA5" w:rsidR="00305B9E" w:rsidRPr="0084174F" w:rsidRDefault="00305B9E" w:rsidP="00305B9E">
      <w:pPr>
        <w:rPr>
          <w:lang w:val="pl-PL"/>
        </w:rPr>
      </w:pPr>
      <w:r w:rsidRPr="0084174F">
        <w:rPr>
          <w:lang w:val="pl-PL"/>
        </w:rPr>
        <w:t xml:space="preserve">3. We współpracy z prezydencją szwedzką szwedzka sieć obszarów wiejskich </w:t>
      </w:r>
      <w:proofErr w:type="spellStart"/>
      <w:r w:rsidR="0084174F">
        <w:rPr>
          <w:lang w:val="pl-PL"/>
        </w:rPr>
        <w:t>z</w:t>
      </w:r>
      <w:r w:rsidRPr="0084174F">
        <w:rPr>
          <w:lang w:val="pl-PL"/>
        </w:rPr>
        <w:t>organiz</w:t>
      </w:r>
      <w:r w:rsidR="0084174F">
        <w:rPr>
          <w:lang w:val="pl-PL"/>
        </w:rPr>
        <w:t>owala</w:t>
      </w:r>
      <w:proofErr w:type="spellEnd"/>
      <w:r w:rsidRPr="0084174F">
        <w:rPr>
          <w:lang w:val="pl-PL"/>
        </w:rPr>
        <w:t xml:space="preserve"> w dniach 3-4 maja konferencję Paktu Wiejskiego. </w:t>
      </w:r>
    </w:p>
    <w:p w14:paraId="6F6D89F2" w14:textId="56286C79" w:rsidR="00305B9E" w:rsidRPr="0084174F" w:rsidRDefault="00305B9E" w:rsidP="00305B9E">
      <w:pPr>
        <w:rPr>
          <w:lang w:val="pl-PL"/>
        </w:rPr>
      </w:pPr>
      <w:r w:rsidRPr="0084174F">
        <w:rPr>
          <w:lang w:val="pl-PL"/>
        </w:rPr>
        <w:t xml:space="preserve">4. Prezydencja hiszpańska zapowiada się bardzo aktywnie w sprawach wiejskich. W dniach 27-28 września w </w:t>
      </w:r>
      <w:proofErr w:type="spellStart"/>
      <w:r w:rsidRPr="0084174F">
        <w:rPr>
          <w:lang w:val="pl-PL"/>
        </w:rPr>
        <w:t>Siguenza</w:t>
      </w:r>
      <w:proofErr w:type="spellEnd"/>
      <w:r w:rsidRPr="0084174F">
        <w:rPr>
          <w:lang w:val="pl-PL"/>
        </w:rPr>
        <w:t xml:space="preserve"> odbędzie się Forum Wysokiego Szczebla ds. Polityki Obszarów Wiejskich</w:t>
      </w:r>
      <w:r w:rsidR="0084174F">
        <w:rPr>
          <w:lang w:val="pl-PL"/>
        </w:rPr>
        <w:t xml:space="preserve">. </w:t>
      </w:r>
      <w:r w:rsidRPr="0084174F">
        <w:rPr>
          <w:lang w:val="pl-PL"/>
        </w:rPr>
        <w:t>Wraz z przyszłą prezydencją hiszpańską w Radzie Unii Europejskiej Komisja bada możliwości przyjęcia konkluzji Rady poświęconych długoterminowej wizji obszarów wiejskich UE pod koniec 2023 r.</w:t>
      </w:r>
    </w:p>
    <w:p w14:paraId="58520BAA" w14:textId="33630885" w:rsidR="00305B9E" w:rsidRPr="0084174F" w:rsidRDefault="00305B9E" w:rsidP="00305B9E">
      <w:pPr>
        <w:rPr>
          <w:lang w:val="pl-PL"/>
        </w:rPr>
      </w:pPr>
      <w:r w:rsidRPr="0084174F">
        <w:rPr>
          <w:lang w:val="pl-PL"/>
        </w:rPr>
        <w:t xml:space="preserve">5. Biuro Wsparcia </w:t>
      </w:r>
      <w:proofErr w:type="spellStart"/>
      <w:r w:rsidRPr="0084174F">
        <w:rPr>
          <w:lang w:val="pl-PL"/>
        </w:rPr>
        <w:t>Rural</w:t>
      </w:r>
      <w:proofErr w:type="spellEnd"/>
      <w:r w:rsidRPr="0084174F">
        <w:rPr>
          <w:lang w:val="pl-PL"/>
        </w:rPr>
        <w:t xml:space="preserve"> </w:t>
      </w:r>
      <w:proofErr w:type="spellStart"/>
      <w:r w:rsidRPr="0084174F">
        <w:rPr>
          <w:lang w:val="pl-PL"/>
        </w:rPr>
        <w:t>Pact</w:t>
      </w:r>
      <w:proofErr w:type="spellEnd"/>
      <w:r w:rsidRPr="0084174F">
        <w:rPr>
          <w:lang w:val="pl-PL"/>
        </w:rPr>
        <w:t xml:space="preserve"> wreszcie działa i organizuje w tym roku kilka warsztatów i laboratoriów politycznych.</w:t>
      </w:r>
    </w:p>
    <w:p w14:paraId="13414557" w14:textId="28790ECF" w:rsidR="00305B9E" w:rsidRPr="0084174F" w:rsidRDefault="00305B9E" w:rsidP="00305B9E">
      <w:pPr>
        <w:rPr>
          <w:lang w:val="pl-PL"/>
        </w:rPr>
      </w:pPr>
      <w:r w:rsidRPr="0084174F">
        <w:rPr>
          <w:lang w:val="pl-PL"/>
        </w:rPr>
        <w:t xml:space="preserve">6. Kilka projektów badawczych Horyzontu związanych z kwestiami wiejskimi dobiega końca, a ich wyniki są dystrybuowane do wykorzystania przez polityków i innych decydentów. Prezentację „Ruralizacji” mieliśmy na </w:t>
      </w:r>
      <w:r w:rsidR="0084174F">
        <w:rPr>
          <w:lang w:val="pl-PL"/>
        </w:rPr>
        <w:t xml:space="preserve">przedostatnim </w:t>
      </w:r>
      <w:r w:rsidRPr="0084174F">
        <w:rPr>
          <w:lang w:val="pl-PL"/>
        </w:rPr>
        <w:t xml:space="preserve">spotkaniu </w:t>
      </w:r>
      <w:r w:rsidR="0084174F">
        <w:rPr>
          <w:lang w:val="pl-PL"/>
        </w:rPr>
        <w:t xml:space="preserve">Komisji </w:t>
      </w:r>
      <w:r w:rsidRPr="0084174F">
        <w:rPr>
          <w:lang w:val="pl-PL"/>
        </w:rPr>
        <w:t xml:space="preserve">NAT. </w:t>
      </w:r>
      <w:r w:rsidR="0084174F">
        <w:rPr>
          <w:lang w:val="pl-PL"/>
        </w:rPr>
        <w:t>P</w:t>
      </w:r>
      <w:r w:rsidRPr="0084174F">
        <w:rPr>
          <w:lang w:val="pl-PL"/>
        </w:rPr>
        <w:t xml:space="preserve">rojekt </w:t>
      </w:r>
      <w:proofErr w:type="spellStart"/>
      <w:r w:rsidRPr="0084174F">
        <w:rPr>
          <w:lang w:val="pl-PL"/>
        </w:rPr>
        <w:t>Desira</w:t>
      </w:r>
      <w:proofErr w:type="spellEnd"/>
      <w:r w:rsidRPr="0084174F">
        <w:rPr>
          <w:lang w:val="pl-PL"/>
        </w:rPr>
        <w:t xml:space="preserve"> (Cyfryzacja: skutki gospodarcze i społeczne na obszarach wiejskich) przedstawił zalecenia na konferencji końcowej. </w:t>
      </w:r>
    </w:p>
    <w:p w14:paraId="7109E9F8" w14:textId="77777777" w:rsidR="00305B9E" w:rsidRPr="0084174F" w:rsidRDefault="00305B9E" w:rsidP="00305B9E">
      <w:pPr>
        <w:rPr>
          <w:lang w:val="pl-PL"/>
        </w:rPr>
      </w:pPr>
    </w:p>
    <w:p w14:paraId="0D51BCB2" w14:textId="0CDE3F90" w:rsidR="00305B9E" w:rsidRPr="004F4507" w:rsidRDefault="00305B9E">
      <w:pPr>
        <w:rPr>
          <w:b/>
          <w:bCs/>
          <w:lang w:val="pl-PL"/>
        </w:rPr>
      </w:pPr>
      <w:r w:rsidRPr="004F4507">
        <w:rPr>
          <w:b/>
          <w:bCs/>
          <w:lang w:val="pl-PL"/>
        </w:rPr>
        <w:t xml:space="preserve">4. </w:t>
      </w:r>
      <w:r w:rsidR="004F4507" w:rsidRPr="004F4507">
        <w:rPr>
          <w:b/>
          <w:bCs/>
          <w:lang w:val="pl-PL"/>
        </w:rPr>
        <w:t>Podziękowanie</w:t>
      </w:r>
      <w:r w:rsidRPr="004F4507">
        <w:rPr>
          <w:b/>
          <w:bCs/>
          <w:lang w:val="pl-PL"/>
        </w:rPr>
        <w:t xml:space="preserve"> </w:t>
      </w:r>
      <w:r w:rsidR="004F4507" w:rsidRPr="004F4507">
        <w:rPr>
          <w:b/>
          <w:bCs/>
          <w:lang w:val="pl-PL"/>
        </w:rPr>
        <w:t>członkom</w:t>
      </w:r>
      <w:r w:rsidRPr="004F4507">
        <w:rPr>
          <w:b/>
          <w:bCs/>
          <w:lang w:val="pl-PL"/>
        </w:rPr>
        <w:t xml:space="preserve"> i obecnym za </w:t>
      </w:r>
      <w:r w:rsidR="004F4507" w:rsidRPr="004F4507">
        <w:rPr>
          <w:b/>
          <w:bCs/>
          <w:lang w:val="pl-PL"/>
        </w:rPr>
        <w:t>zaangażowanie</w:t>
      </w:r>
      <w:r w:rsidRPr="004F4507">
        <w:rPr>
          <w:b/>
          <w:bCs/>
          <w:lang w:val="pl-PL"/>
        </w:rPr>
        <w:t xml:space="preserve"> </w:t>
      </w:r>
      <w:r w:rsidR="004F4507">
        <w:rPr>
          <w:b/>
          <w:bCs/>
          <w:lang w:val="pl-PL"/>
        </w:rPr>
        <w:t>i wspieranie obszarów wiejskich</w:t>
      </w:r>
    </w:p>
    <w:p w14:paraId="05C57DAE" w14:textId="77777777" w:rsidR="00305B9E" w:rsidRPr="00305B9E" w:rsidRDefault="00305B9E">
      <w:pPr>
        <w:rPr>
          <w:lang w:val="en-GB"/>
        </w:rPr>
      </w:pPr>
    </w:p>
    <w:sectPr w:rsidR="00305B9E" w:rsidRPr="00305B9E" w:rsidSect="00305B9E">
      <w:pgSz w:w="11907" w:h="1683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B9E"/>
    <w:rsid w:val="00217F6F"/>
    <w:rsid w:val="0023565E"/>
    <w:rsid w:val="002C09ED"/>
    <w:rsid w:val="00305B9E"/>
    <w:rsid w:val="004F4507"/>
    <w:rsid w:val="008417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C2944"/>
  <w15:chartTrackingRefBased/>
  <w15:docId w15:val="{106EB1CE-C3B9-41AC-8EA4-491D56B0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B9E"/>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305B9E"/>
    <w:pPr>
      <w:numPr>
        <w:numId w:val="1"/>
      </w:numPr>
      <w:ind w:left="567" w:hanging="567"/>
      <w:outlineLvl w:val="0"/>
    </w:pPr>
    <w:rPr>
      <w:kern w:val="28"/>
    </w:rPr>
  </w:style>
  <w:style w:type="paragraph" w:styleId="Heading2">
    <w:name w:val="heading 2"/>
    <w:basedOn w:val="Normal"/>
    <w:next w:val="Normal"/>
    <w:link w:val="Heading2Char"/>
    <w:qFormat/>
    <w:rsid w:val="00305B9E"/>
    <w:pPr>
      <w:numPr>
        <w:ilvl w:val="1"/>
        <w:numId w:val="1"/>
      </w:numPr>
      <w:ind w:left="567" w:hanging="567"/>
      <w:outlineLvl w:val="1"/>
    </w:pPr>
  </w:style>
  <w:style w:type="paragraph" w:styleId="Heading3">
    <w:name w:val="heading 3"/>
    <w:basedOn w:val="Normal"/>
    <w:next w:val="Normal"/>
    <w:link w:val="Heading3Char"/>
    <w:qFormat/>
    <w:rsid w:val="00305B9E"/>
    <w:pPr>
      <w:numPr>
        <w:ilvl w:val="2"/>
        <w:numId w:val="1"/>
      </w:numPr>
      <w:ind w:left="567" w:hanging="567"/>
      <w:outlineLvl w:val="2"/>
    </w:pPr>
  </w:style>
  <w:style w:type="paragraph" w:styleId="Heading4">
    <w:name w:val="heading 4"/>
    <w:basedOn w:val="Normal"/>
    <w:next w:val="Normal"/>
    <w:link w:val="Heading4Char"/>
    <w:qFormat/>
    <w:rsid w:val="00305B9E"/>
    <w:pPr>
      <w:numPr>
        <w:ilvl w:val="3"/>
        <w:numId w:val="1"/>
      </w:numPr>
      <w:ind w:left="567" w:hanging="567"/>
      <w:outlineLvl w:val="3"/>
    </w:pPr>
  </w:style>
  <w:style w:type="paragraph" w:styleId="Heading5">
    <w:name w:val="heading 5"/>
    <w:basedOn w:val="Normal"/>
    <w:next w:val="Normal"/>
    <w:link w:val="Heading5Char"/>
    <w:qFormat/>
    <w:rsid w:val="00305B9E"/>
    <w:pPr>
      <w:numPr>
        <w:ilvl w:val="4"/>
        <w:numId w:val="1"/>
      </w:numPr>
      <w:ind w:left="567" w:hanging="567"/>
      <w:outlineLvl w:val="4"/>
    </w:pPr>
  </w:style>
  <w:style w:type="paragraph" w:styleId="Heading6">
    <w:name w:val="heading 6"/>
    <w:basedOn w:val="Normal"/>
    <w:next w:val="Normal"/>
    <w:link w:val="Heading6Char"/>
    <w:qFormat/>
    <w:rsid w:val="00305B9E"/>
    <w:pPr>
      <w:numPr>
        <w:ilvl w:val="5"/>
        <w:numId w:val="1"/>
      </w:numPr>
      <w:ind w:left="567" w:hanging="567"/>
      <w:outlineLvl w:val="5"/>
    </w:pPr>
  </w:style>
  <w:style w:type="paragraph" w:styleId="Heading7">
    <w:name w:val="heading 7"/>
    <w:basedOn w:val="Normal"/>
    <w:next w:val="Normal"/>
    <w:link w:val="Heading7Char"/>
    <w:qFormat/>
    <w:rsid w:val="00305B9E"/>
    <w:pPr>
      <w:numPr>
        <w:ilvl w:val="6"/>
        <w:numId w:val="1"/>
      </w:numPr>
      <w:ind w:left="567" w:hanging="567"/>
      <w:outlineLvl w:val="6"/>
    </w:pPr>
  </w:style>
  <w:style w:type="paragraph" w:styleId="Heading8">
    <w:name w:val="heading 8"/>
    <w:basedOn w:val="Normal"/>
    <w:next w:val="Normal"/>
    <w:link w:val="Heading8Char"/>
    <w:qFormat/>
    <w:rsid w:val="00305B9E"/>
    <w:pPr>
      <w:numPr>
        <w:ilvl w:val="7"/>
        <w:numId w:val="1"/>
      </w:numPr>
      <w:ind w:left="567" w:hanging="567"/>
      <w:outlineLvl w:val="7"/>
    </w:pPr>
  </w:style>
  <w:style w:type="paragraph" w:styleId="Heading9">
    <w:name w:val="heading 9"/>
    <w:basedOn w:val="Normal"/>
    <w:next w:val="Normal"/>
    <w:link w:val="Heading9Char"/>
    <w:qFormat/>
    <w:rsid w:val="00305B9E"/>
    <w:pPr>
      <w:numPr>
        <w:ilvl w:val="8"/>
        <w:numId w:val="1"/>
      </w:numPr>
      <w:ind w:left="567" w:hanging="567"/>
      <w:outlineLvl w:val="8"/>
    </w:pPr>
  </w:style>
  <w:style w:type="character" w:default="1" w:styleId="DefaultParagraphFont">
    <w:name w:val="Default Paragraph Font"/>
    <w:uiPriority w:val="1"/>
    <w:semiHidden/>
    <w:unhideWhenUsed/>
    <w:rsid w:val="00305B9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05B9E"/>
  </w:style>
  <w:style w:type="character" w:customStyle="1" w:styleId="Heading1Char">
    <w:name w:val="Heading 1 Char"/>
    <w:basedOn w:val="DefaultParagraphFont"/>
    <w:link w:val="Heading1"/>
    <w:rsid w:val="00305B9E"/>
    <w:rPr>
      <w:rFonts w:ascii="Times New Roman" w:eastAsia="Times New Roman" w:hAnsi="Times New Roman" w:cs="Times New Roman"/>
      <w:kern w:val="28"/>
    </w:rPr>
  </w:style>
  <w:style w:type="character" w:customStyle="1" w:styleId="Heading2Char">
    <w:name w:val="Heading 2 Char"/>
    <w:basedOn w:val="DefaultParagraphFont"/>
    <w:link w:val="Heading2"/>
    <w:rsid w:val="00305B9E"/>
    <w:rPr>
      <w:rFonts w:ascii="Times New Roman" w:eastAsia="Times New Roman" w:hAnsi="Times New Roman" w:cs="Times New Roman"/>
    </w:rPr>
  </w:style>
  <w:style w:type="character" w:customStyle="1" w:styleId="Heading3Char">
    <w:name w:val="Heading 3 Char"/>
    <w:basedOn w:val="DefaultParagraphFont"/>
    <w:link w:val="Heading3"/>
    <w:rsid w:val="00305B9E"/>
    <w:rPr>
      <w:rFonts w:ascii="Times New Roman" w:eastAsia="Times New Roman" w:hAnsi="Times New Roman" w:cs="Times New Roman"/>
    </w:rPr>
  </w:style>
  <w:style w:type="character" w:customStyle="1" w:styleId="Heading4Char">
    <w:name w:val="Heading 4 Char"/>
    <w:basedOn w:val="DefaultParagraphFont"/>
    <w:link w:val="Heading4"/>
    <w:rsid w:val="00305B9E"/>
    <w:rPr>
      <w:rFonts w:ascii="Times New Roman" w:eastAsia="Times New Roman" w:hAnsi="Times New Roman" w:cs="Times New Roman"/>
    </w:rPr>
  </w:style>
  <w:style w:type="character" w:customStyle="1" w:styleId="Heading5Char">
    <w:name w:val="Heading 5 Char"/>
    <w:basedOn w:val="DefaultParagraphFont"/>
    <w:link w:val="Heading5"/>
    <w:rsid w:val="00305B9E"/>
    <w:rPr>
      <w:rFonts w:ascii="Times New Roman" w:eastAsia="Times New Roman" w:hAnsi="Times New Roman" w:cs="Times New Roman"/>
    </w:rPr>
  </w:style>
  <w:style w:type="character" w:customStyle="1" w:styleId="Heading6Char">
    <w:name w:val="Heading 6 Char"/>
    <w:basedOn w:val="DefaultParagraphFont"/>
    <w:link w:val="Heading6"/>
    <w:rsid w:val="00305B9E"/>
    <w:rPr>
      <w:rFonts w:ascii="Times New Roman" w:eastAsia="Times New Roman" w:hAnsi="Times New Roman" w:cs="Times New Roman"/>
    </w:rPr>
  </w:style>
  <w:style w:type="character" w:customStyle="1" w:styleId="Heading7Char">
    <w:name w:val="Heading 7 Char"/>
    <w:basedOn w:val="DefaultParagraphFont"/>
    <w:link w:val="Heading7"/>
    <w:rsid w:val="00305B9E"/>
    <w:rPr>
      <w:rFonts w:ascii="Times New Roman" w:eastAsia="Times New Roman" w:hAnsi="Times New Roman" w:cs="Times New Roman"/>
    </w:rPr>
  </w:style>
  <w:style w:type="character" w:customStyle="1" w:styleId="Heading8Char">
    <w:name w:val="Heading 8 Char"/>
    <w:basedOn w:val="DefaultParagraphFont"/>
    <w:link w:val="Heading8"/>
    <w:rsid w:val="00305B9E"/>
    <w:rPr>
      <w:rFonts w:ascii="Times New Roman" w:eastAsia="Times New Roman" w:hAnsi="Times New Roman" w:cs="Times New Roman"/>
    </w:rPr>
  </w:style>
  <w:style w:type="character" w:customStyle="1" w:styleId="Heading9Char">
    <w:name w:val="Heading 9 Char"/>
    <w:basedOn w:val="DefaultParagraphFont"/>
    <w:link w:val="Heading9"/>
    <w:rsid w:val="00305B9E"/>
    <w:rPr>
      <w:rFonts w:ascii="Times New Roman" w:eastAsia="Times New Roman" w:hAnsi="Times New Roman" w:cs="Times New Roman"/>
    </w:rPr>
  </w:style>
  <w:style w:type="paragraph" w:styleId="Footer">
    <w:name w:val="footer"/>
    <w:basedOn w:val="Normal"/>
    <w:link w:val="FooterChar"/>
    <w:qFormat/>
    <w:rsid w:val="00305B9E"/>
  </w:style>
  <w:style w:type="character" w:customStyle="1" w:styleId="FooterChar">
    <w:name w:val="Footer Char"/>
    <w:basedOn w:val="DefaultParagraphFont"/>
    <w:link w:val="Footer"/>
    <w:rsid w:val="00305B9E"/>
    <w:rPr>
      <w:rFonts w:ascii="Times New Roman" w:eastAsia="Times New Roman" w:hAnsi="Times New Roman" w:cs="Times New Roman"/>
    </w:rPr>
  </w:style>
  <w:style w:type="paragraph" w:styleId="FootnoteText">
    <w:name w:val="footnote text"/>
    <w:basedOn w:val="Normal"/>
    <w:link w:val="FootnoteTextChar"/>
    <w:qFormat/>
    <w:rsid w:val="00305B9E"/>
    <w:pPr>
      <w:keepLines/>
      <w:spacing w:after="60" w:line="240" w:lineRule="auto"/>
      <w:ind w:left="567" w:hanging="567"/>
    </w:pPr>
    <w:rPr>
      <w:sz w:val="16"/>
    </w:rPr>
  </w:style>
  <w:style w:type="character" w:customStyle="1" w:styleId="FootnoteTextChar">
    <w:name w:val="Footnote Text Char"/>
    <w:basedOn w:val="DefaultParagraphFont"/>
    <w:link w:val="FootnoteText"/>
    <w:rsid w:val="00305B9E"/>
    <w:rPr>
      <w:rFonts w:ascii="Times New Roman" w:eastAsia="Times New Roman" w:hAnsi="Times New Roman" w:cs="Times New Roman"/>
      <w:sz w:val="16"/>
    </w:rPr>
  </w:style>
  <w:style w:type="paragraph" w:styleId="Header">
    <w:name w:val="header"/>
    <w:basedOn w:val="Normal"/>
    <w:link w:val="HeaderChar"/>
    <w:qFormat/>
    <w:rsid w:val="00305B9E"/>
  </w:style>
  <w:style w:type="character" w:customStyle="1" w:styleId="HeaderChar">
    <w:name w:val="Header Char"/>
    <w:basedOn w:val="DefaultParagraphFont"/>
    <w:link w:val="Header"/>
    <w:rsid w:val="00305B9E"/>
    <w:rPr>
      <w:rFonts w:ascii="Times New Roman" w:eastAsia="Times New Roman" w:hAnsi="Times New Roman" w:cs="Times New Roman"/>
    </w:rPr>
  </w:style>
  <w:style w:type="paragraph" w:customStyle="1" w:styleId="quotes">
    <w:name w:val="quotes"/>
    <w:basedOn w:val="Normal"/>
    <w:next w:val="Normal"/>
    <w:rsid w:val="00305B9E"/>
    <w:pPr>
      <w:ind w:left="720"/>
    </w:pPr>
    <w:rPr>
      <w:i/>
    </w:rPr>
  </w:style>
  <w:style w:type="character" w:styleId="FootnoteReference">
    <w:name w:val="footnote reference"/>
    <w:basedOn w:val="DefaultParagraphFont"/>
    <w:unhideWhenUsed/>
    <w:qFormat/>
    <w:rsid w:val="00305B9E"/>
    <w:rPr>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21\Templates\Styles\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67354BEFFBC8418530328A31BC0847" ma:contentTypeVersion="0" ma:contentTypeDescription="Create a new document." ma:contentTypeScope="" ma:versionID="8c6ec819b9f718cff97c414cca5c2714">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46C6D1-1DA3-4916-9421-13BC13B4C60A}"/>
</file>

<file path=customXml/itemProps2.xml><?xml version="1.0" encoding="utf-8"?>
<ds:datastoreItem xmlns:ds="http://schemas.openxmlformats.org/officeDocument/2006/customXml" ds:itemID="{42A86FBB-5BC3-4DEB-BCA8-B8A546575DD4}"/>
</file>

<file path=customXml/itemProps3.xml><?xml version="1.0" encoding="utf-8"?>
<ds:datastoreItem xmlns:ds="http://schemas.openxmlformats.org/officeDocument/2006/customXml" ds:itemID="{283E70CE-C0AC-4E22-86CD-678847E67D4D}"/>
</file>

<file path=docProps/app.xml><?xml version="1.0" encoding="utf-8"?>
<Properties xmlns="http://schemas.openxmlformats.org/officeDocument/2006/extended-properties" xmlns:vt="http://schemas.openxmlformats.org/officeDocument/2006/docPropsVTypes">
  <Template>Styles</Template>
  <TotalTime>18</TotalTime>
  <Pages>4</Pages>
  <Words>1770</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Rodziewicz Bogna</dc:creator>
  <cp:keywords/>
  <dc:description/>
  <cp:lastModifiedBy>Rodziewicz Bogna</cp:lastModifiedBy>
  <cp:revision>1</cp:revision>
  <dcterms:created xsi:type="dcterms:W3CDTF">2023-06-06T14:22:00Z</dcterms:created>
  <dcterms:modified xsi:type="dcterms:W3CDTF">2023-06-06T14:52:00Z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0x0101007C67354BEFFBC8418530328A31BC0847</vt:lpwstr>
  </property>
</Properties>
</file>